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F8" w:rsidRPr="00044CF8" w:rsidRDefault="00044CF8" w:rsidP="0004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AdatVissza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adatmentés Kft. – Service and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Contract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Terms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:</w:t>
      </w:r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AdatVissza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adatmentés Kft. •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Registered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office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: 2310 Szigetszentmiklós, Áprily Lajos utca 25. •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Company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 No</w:t>
      </w:r>
      <w:proofErr w:type="gram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.:</w:t>
      </w:r>
      <w:proofErr w:type="gram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13-09-212424 •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Tax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No.: 29211261-2-13 • E-mail: </w:t>
      </w:r>
      <w:hyperlink r:id="rId7" w:history="1">
        <w:r w:rsidRPr="00044CF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hu-HU"/>
          </w:rPr>
          <w:t>info@adatvissza.hu</w:t>
        </w:r>
      </w:hyperlink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• Mobile: +36 30 370 7307</w:t>
      </w:r>
    </w:p>
    <w:p w:rsidR="00044CF8" w:rsidRPr="00044CF8" w:rsidRDefault="00044CF8" w:rsidP="0004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This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document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forms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part of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Work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constitutes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an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agreement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between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(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natural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or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legal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person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) and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regarding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diagnostics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, and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related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services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proofErr w:type="gram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device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(</w:t>
      </w:r>
      <w:proofErr w:type="gram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s)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handed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over.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Formation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contract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completed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received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Work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also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serves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 service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agreement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between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AdatVissza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adatmentés Kft. (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hereinafter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: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)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device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handed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over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service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specified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fault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description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Receipt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acknowledgement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Work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acts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receipt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devices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listed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Please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always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check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“Fault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description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” and “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Content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/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Critical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”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sections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accepts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no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liability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incomplete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inaccurate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information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recorded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Hidden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defects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Defects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visible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reported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intake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exist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Devices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with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mechanical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internal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electronic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damage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become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inoperable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during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diagnostics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assumes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no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liability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this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Risk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deterioration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acknowledges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during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diagnostics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and/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condition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device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deteriorate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obliged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return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device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condition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was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received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no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liability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damages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arises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from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this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Accompanying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equipment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If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carrier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handed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over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with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external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equipment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(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e.g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., notebook, server,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external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enclosure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NAS),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does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test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their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operability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accepts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no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liability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them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even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if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indispensable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Warranty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Opening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device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void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manufacturer’s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warranty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Obtaining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disassembly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permission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Client’s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responsibility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liable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termination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warranty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Service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types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pricing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distinguishes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: (a)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non-invasive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(b)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invasive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; (c) RAID/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volume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(d)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custom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/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complex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cases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Different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methods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pricing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apply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–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non-invasive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determined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automatically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intake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based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current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rates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published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Provider’s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website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–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invasive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assessment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quotation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follow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payment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diagnostic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–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RAID/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volume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cases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minimum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shown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website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applies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automatically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be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adjusted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after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assessment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–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custom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/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specialized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matters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quotation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prepared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after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assessment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reserves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right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apply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diagnostic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urgency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diagnostic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credited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toward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ordered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labor.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Quotation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validity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: 15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days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Accepting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/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rejecting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quotation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automatically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given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upon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Work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intake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deemed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accepted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handing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over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device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post-assessment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quotation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be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accepted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rejected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writing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If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rejected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no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further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payment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due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diagnostic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already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paid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non-refundable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Payment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rules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unsuccessful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entails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payment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unsuccessful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gram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</w:t>
      </w:r>
      <w:proofErr w:type="gram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labor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charged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diagnostic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any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parts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costs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non-refundable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Encrypted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carriers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must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keys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/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passwords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required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decryption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Without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them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success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cannot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be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verified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no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complaint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be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enforced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Without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accepting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this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condition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refuse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engagement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Measure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success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Success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determined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based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Client’s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written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designation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(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Work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/e-mail: “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critical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files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folders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extensions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range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”).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absence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this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assesses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usable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portion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relative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all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scope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cannot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be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modified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retroactively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Partial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success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–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custom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offer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If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final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result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below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expected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level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offer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custom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(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reduced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)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If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rejected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withdraw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gram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</w:t>
      </w:r>
      <w:proofErr w:type="gram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labor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due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Lead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times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Stated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lead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times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indicative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depend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device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condition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parts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procurement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Completion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collection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service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deemed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completed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notification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phone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e-mail.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From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notification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must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collect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settle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within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14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calendar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days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Delivery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methods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–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target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media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never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written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back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original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carrier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Handover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be: (I)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blank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target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media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supplied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(II)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media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purchased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from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(III)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deposit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(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loaner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)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media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(IV)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otherwise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agreed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Payment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verification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Data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handed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over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after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labor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settlement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has 3 business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days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verify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delivered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submit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any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complaint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lastRenderedPageBreak/>
        <w:t>Retention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copies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If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necessary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create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physical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clone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original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carrier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a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safety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copy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Retention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: 3 business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days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from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collection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(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extendable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complaint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).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Thereafter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copies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deleted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No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claims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be made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after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deletion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Return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original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carrier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some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cases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facilitate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verification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without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original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carrier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request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writing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simultaneous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return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original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carrier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no right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complain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applies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Place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of performance</w:t>
      </w:r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Performance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takes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place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Provider’s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office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and/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service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facility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handed-in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carrier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be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transported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service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facility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office-site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intake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possible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prior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arrangement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pickup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service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facility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available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Release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against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Work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>Data/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media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released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against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Work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absence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Work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release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possible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only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after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credible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identification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(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personal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ID;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companies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proof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representation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non-first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owners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a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chain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sales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documents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).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Uncollected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items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Items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stored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30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days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from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last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After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this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period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absence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instructions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items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deemed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instructed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disposal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Expert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report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Available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additional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fee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(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summary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technical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condition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performed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operations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).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Limitation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liability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excludes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liability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indirect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/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consequential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damages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lost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profits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undertakes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repair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Processing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personal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consents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processing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personal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listed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Work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accordance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with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Provider’s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Privacy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Notice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procedure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under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clause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20,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required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document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also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processed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undertakes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confidentiality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regarding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content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recovered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data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Shipping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/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dispatch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Courier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dispatch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be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requested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Client’s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risk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;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must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follow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packaging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instructions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liable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transport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damage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Prices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payment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invoicing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Prices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HUF and—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unless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otherwise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indicated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—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gross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amounts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Payment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methods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: cash, bank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card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prepayment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wire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transfer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case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late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payment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default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interest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under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Hungarian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Civil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Code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applies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Governing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law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disputes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matters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regulated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herein,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current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Hungarian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law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particular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Civil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Code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applies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In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consumer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disputes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may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also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turn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Conciliation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Board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competent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by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domicile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non-consumer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disputes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parties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submit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exclusive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jurisdiction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of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court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competent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Provider’s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registered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seat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sz w:val="17"/>
          <w:szCs w:val="17"/>
          <w:lang w:eastAsia="hu-HU"/>
        </w:rPr>
        <w:t>Acknowledgements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br/>
        <w:t xml:space="preserve">The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Client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declares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that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they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have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read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understood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,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accepted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this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Work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Order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the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Provider’s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Service and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Contract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Terms</w:t>
      </w:r>
      <w:proofErr w:type="spellEnd"/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</w:pPr>
      <w:proofErr w:type="spellStart"/>
      <w:r w:rsidRPr="00044CF8">
        <w:rPr>
          <w:rFonts w:ascii="Times New Roman" w:eastAsia="Times New Roman" w:hAnsi="Times New Roman" w:cs="Times New Roman"/>
          <w:b/>
          <w:bCs/>
          <w:i/>
          <w:sz w:val="17"/>
          <w:szCs w:val="17"/>
          <w:lang w:eastAsia="hu-HU"/>
        </w:rPr>
        <w:t>Legal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b/>
          <w:bCs/>
          <w:i/>
          <w:sz w:val="17"/>
          <w:szCs w:val="17"/>
          <w:lang w:eastAsia="hu-HU"/>
        </w:rPr>
        <w:t>note</w:t>
      </w:r>
      <w:proofErr w:type="spellEnd"/>
      <w:r w:rsidRPr="00044CF8">
        <w:rPr>
          <w:rFonts w:ascii="Times New Roman" w:eastAsia="Times New Roman" w:hAnsi="Times New Roman" w:cs="Times New Roman"/>
          <w:b/>
          <w:bCs/>
          <w:i/>
          <w:sz w:val="17"/>
          <w:szCs w:val="17"/>
          <w:lang w:eastAsia="hu-HU"/>
        </w:rPr>
        <w:t>:</w:t>
      </w:r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The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above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text is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general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information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and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does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not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constitute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legal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advice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.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For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specific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risks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,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it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is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advisable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to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have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it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reviewed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by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 xml:space="preserve"> a </w:t>
      </w:r>
      <w:proofErr w:type="spellStart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lawyer</w:t>
      </w:r>
      <w:proofErr w:type="spellEnd"/>
      <w:r w:rsidRPr="00044CF8">
        <w:rPr>
          <w:rFonts w:ascii="Times New Roman" w:eastAsia="Times New Roman" w:hAnsi="Times New Roman" w:cs="Times New Roman"/>
          <w:i/>
          <w:sz w:val="17"/>
          <w:szCs w:val="17"/>
          <w:lang w:eastAsia="hu-HU"/>
        </w:rPr>
        <w:t>.</w:t>
      </w:r>
    </w:p>
    <w:p w:rsidR="00044CF8" w:rsidRPr="00044CF8" w:rsidRDefault="00044CF8" w:rsidP="00044CF8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r w:rsidRPr="00044CF8">
        <w:rPr>
          <w:rFonts w:ascii="Times New Roman" w:eastAsia="Times New Roman" w:hAnsi="Times New Roman" w:cs="Times New Roman"/>
          <w:sz w:val="17"/>
          <w:szCs w:val="17"/>
          <w:lang w:eastAsia="hu-HU"/>
        </w:rPr>
        <w:pict>
          <v:rect id="_x0000_i1025" style="width:0;height:1.5pt" o:hralign="center" o:hrstd="t" o:hr="t" fillcolor="#a0a0a0" stroked="f"/>
        </w:pict>
      </w:r>
    </w:p>
    <w:p w:rsidR="00044CF8" w:rsidRPr="00044CF8" w:rsidRDefault="00044CF8" w:rsidP="00044CF8">
      <w:pPr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sz w:val="17"/>
          <w:szCs w:val="17"/>
        </w:rPr>
        <w:t>Date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and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place</w:t>
      </w:r>
      <w:proofErr w:type="spellEnd"/>
      <w:r w:rsidRPr="00044CF8">
        <w:rPr>
          <w:rFonts w:ascii="Arial" w:hAnsi="Arial" w:cs="Arial"/>
          <w:b/>
          <w:bCs/>
          <w:sz w:val="17"/>
          <w:szCs w:val="17"/>
        </w:rPr>
        <w:t>:</w:t>
      </w:r>
      <w:r w:rsidRPr="00044CF8">
        <w:rPr>
          <w:rFonts w:ascii="Arial" w:hAnsi="Arial" w:cs="Arial"/>
          <w:sz w:val="17"/>
          <w:szCs w:val="17"/>
        </w:rPr>
        <w:t> Szigetszentmiklós, 20</w:t>
      </w:r>
      <w:proofErr w:type="gramStart"/>
      <w:r w:rsidRPr="00044CF8">
        <w:rPr>
          <w:rFonts w:ascii="Arial" w:hAnsi="Arial" w:cs="Arial"/>
          <w:sz w:val="17"/>
          <w:szCs w:val="17"/>
        </w:rPr>
        <w:t>………..….</w:t>
      </w:r>
      <w:proofErr w:type="gramEnd"/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25"/>
      </w:tblGrid>
      <w:tr w:rsidR="00044CF8" w:rsidRPr="00044CF8" w:rsidTr="006D1D19">
        <w:tc>
          <w:tcPr>
            <w:tcW w:w="6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240" w:type="dxa"/>
            </w:tcMar>
            <w:hideMark/>
          </w:tcPr>
          <w:p w:rsidR="00044CF8" w:rsidRPr="00044CF8" w:rsidRDefault="00044CF8" w:rsidP="006D1D1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Provider</w:t>
            </w:r>
            <w:proofErr w:type="spellEnd"/>
          </w:p>
          <w:p w:rsidR="00044CF8" w:rsidRPr="00044CF8" w:rsidRDefault="00044CF8" w:rsidP="006D1D19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44CF8">
              <w:rPr>
                <w:rFonts w:ascii="Arial" w:hAnsi="Arial" w:cs="Arial"/>
                <w:sz w:val="17"/>
                <w:szCs w:val="17"/>
              </w:rPr>
              <w:t>AdatVissza</w:t>
            </w:r>
            <w:proofErr w:type="spellEnd"/>
            <w:r w:rsidRPr="00044CF8">
              <w:rPr>
                <w:rFonts w:ascii="Arial" w:hAnsi="Arial" w:cs="Arial"/>
                <w:sz w:val="17"/>
                <w:szCs w:val="17"/>
              </w:rPr>
              <w:t xml:space="preserve"> adatmentés Kft.</w:t>
            </w:r>
          </w:p>
          <w:p w:rsidR="00044CF8" w:rsidRPr="00044CF8" w:rsidRDefault="00044CF8" w:rsidP="00044CF8">
            <w:pPr>
              <w:spacing w:line="48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Representative</w:t>
            </w:r>
            <w:proofErr w:type="spellEnd"/>
            <w:r w:rsidRPr="00044CF8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Zsolt Bahrt</w:t>
            </w:r>
          </w:p>
          <w:p w:rsidR="00044CF8" w:rsidRPr="00044CF8" w:rsidRDefault="00044CF8" w:rsidP="00044CF8">
            <w:pPr>
              <w:spacing w:line="480" w:lineRule="auto"/>
              <w:rPr>
                <w:rFonts w:ascii="Arial" w:hAnsi="Arial" w:cs="Arial"/>
                <w:sz w:val="17"/>
                <w:szCs w:val="17"/>
              </w:rPr>
            </w:pPr>
            <w:r w:rsidRPr="00044CF8">
              <w:rPr>
                <w:rFonts w:ascii="Arial" w:hAnsi="Arial" w:cs="Arial"/>
                <w:sz w:val="17"/>
                <w:szCs w:val="17"/>
              </w:rPr>
              <w:t>______________________________</w:t>
            </w:r>
          </w:p>
          <w:p w:rsidR="00044CF8" w:rsidRPr="00044CF8" w:rsidRDefault="00044CF8" w:rsidP="00044CF8">
            <w:pPr>
              <w:spacing w:line="48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Signature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Stamp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area</w:t>
            </w:r>
            <w:proofErr w:type="spellEnd"/>
          </w:p>
        </w:tc>
        <w:tc>
          <w:tcPr>
            <w:tcW w:w="666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150" w:type="dxa"/>
            </w:tcMar>
            <w:hideMark/>
          </w:tcPr>
          <w:p w:rsidR="00044CF8" w:rsidRPr="00044CF8" w:rsidRDefault="00044CF8" w:rsidP="006D1D1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Client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Contracting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party</w:t>
            </w:r>
            <w:proofErr w:type="spellEnd"/>
            <w:r w:rsidRPr="00044CF8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044CF8" w:rsidRPr="00044CF8" w:rsidRDefault="00044CF8" w:rsidP="006D1D19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Name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Company</w:t>
            </w:r>
            <w:proofErr w:type="spellEnd"/>
            <w:r w:rsidRPr="00044CF8">
              <w:rPr>
                <w:rFonts w:ascii="Arial" w:hAnsi="Arial" w:cs="Arial"/>
                <w:sz w:val="17"/>
                <w:szCs w:val="17"/>
              </w:rPr>
              <w:t>:</w:t>
            </w:r>
          </w:p>
          <w:p w:rsidR="00044CF8" w:rsidRPr="00044CF8" w:rsidRDefault="00044CF8" w:rsidP="00044CF8">
            <w:pPr>
              <w:spacing w:line="48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Representative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for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companies</w:t>
            </w:r>
            <w:proofErr w:type="spellEnd"/>
            <w:r w:rsidRPr="00044CF8">
              <w:rPr>
                <w:rFonts w:ascii="Arial" w:hAnsi="Arial" w:cs="Arial"/>
                <w:sz w:val="17"/>
                <w:szCs w:val="17"/>
              </w:rPr>
              <w:t>):</w:t>
            </w:r>
          </w:p>
          <w:p w:rsidR="00044CF8" w:rsidRPr="00044CF8" w:rsidRDefault="00044CF8" w:rsidP="00044CF8">
            <w:pPr>
              <w:spacing w:line="480" w:lineRule="auto"/>
              <w:rPr>
                <w:rFonts w:ascii="Arial" w:hAnsi="Arial" w:cs="Arial"/>
                <w:sz w:val="17"/>
                <w:szCs w:val="17"/>
              </w:rPr>
            </w:pPr>
            <w:r w:rsidRPr="00044CF8">
              <w:rPr>
                <w:rFonts w:ascii="Arial" w:hAnsi="Arial" w:cs="Arial"/>
                <w:sz w:val="17"/>
                <w:szCs w:val="17"/>
              </w:rPr>
              <w:t>______________________________</w:t>
            </w:r>
          </w:p>
          <w:p w:rsidR="00044CF8" w:rsidRPr="00044CF8" w:rsidRDefault="00044CF8" w:rsidP="00044CF8">
            <w:pPr>
              <w:spacing w:line="48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Sign</w:t>
            </w:r>
            <w:r w:rsidR="00E26D1D">
              <w:rPr>
                <w:rFonts w:ascii="Arial" w:hAnsi="Arial" w:cs="Arial"/>
                <w:sz w:val="17"/>
                <w:szCs w:val="17"/>
              </w:rPr>
              <w:t>ature</w:t>
            </w:r>
            <w:bookmarkStart w:id="0" w:name="_GoBack"/>
            <w:bookmarkEnd w:id="0"/>
            <w:proofErr w:type="spellEnd"/>
          </w:p>
        </w:tc>
      </w:tr>
    </w:tbl>
    <w:p w:rsidR="00885B0E" w:rsidRPr="00044CF8" w:rsidRDefault="00885B0E">
      <w:pPr>
        <w:rPr>
          <w:sz w:val="17"/>
          <w:szCs w:val="17"/>
        </w:rPr>
      </w:pPr>
    </w:p>
    <w:sectPr w:rsidR="00885B0E" w:rsidRPr="00044CF8" w:rsidSect="00044CF8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A38" w:rsidRDefault="00B17A38" w:rsidP="00044CF8">
      <w:pPr>
        <w:spacing w:after="0" w:line="240" w:lineRule="auto"/>
      </w:pPr>
      <w:r>
        <w:separator/>
      </w:r>
    </w:p>
  </w:endnote>
  <w:endnote w:type="continuationSeparator" w:id="0">
    <w:p w:rsidR="00B17A38" w:rsidRDefault="00B17A38" w:rsidP="0004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A38" w:rsidRDefault="00B17A38" w:rsidP="00044CF8">
      <w:pPr>
        <w:spacing w:after="0" w:line="240" w:lineRule="auto"/>
      </w:pPr>
      <w:r>
        <w:separator/>
      </w:r>
    </w:p>
  </w:footnote>
  <w:footnote w:type="continuationSeparator" w:id="0">
    <w:p w:rsidR="00B17A38" w:rsidRDefault="00B17A38" w:rsidP="0004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F8" w:rsidRDefault="00044CF8" w:rsidP="00044CF8">
    <w:pPr>
      <w:pStyle w:val="lfej"/>
    </w:pPr>
  </w:p>
  <w:tbl>
    <w:tblPr>
      <w:tblW w:w="10666" w:type="dxa"/>
      <w:tblInd w:w="-448" w:type="dxa"/>
      <w:tblLook w:val="04A0" w:firstRow="1" w:lastRow="0" w:firstColumn="1" w:lastColumn="0" w:noHBand="0" w:noVBand="1"/>
    </w:tblPr>
    <w:tblGrid>
      <w:gridCol w:w="5333"/>
      <w:gridCol w:w="5333"/>
    </w:tblGrid>
    <w:tr w:rsidR="00044CF8" w:rsidRPr="009E4077" w:rsidTr="006D1D19">
      <w:trPr>
        <w:trHeight w:val="514"/>
      </w:trPr>
      <w:tc>
        <w:tcPr>
          <w:tcW w:w="5333" w:type="dxa"/>
        </w:tcPr>
        <w:p w:rsidR="00044CF8" w:rsidRDefault="00044CF8" w:rsidP="00044CF8">
          <w:r>
            <w:rPr>
              <w:noProof/>
              <w:lang w:eastAsia="hu-HU"/>
            </w:rPr>
            <w:drawing>
              <wp:inline distT="0" distB="0" distL="0" distR="0" wp14:anchorId="49935C14" wp14:editId="354047F4">
                <wp:extent cx="1866900" cy="1038970"/>
                <wp:effectExtent l="0" t="0" r="0" b="8890"/>
                <wp:docPr id="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atmentes_logo_adatvissza_h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0195" cy="1063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3" w:type="dxa"/>
        </w:tcPr>
        <w:p w:rsidR="00044CF8" w:rsidRPr="007B6264" w:rsidRDefault="00044CF8" w:rsidP="00044CF8">
          <w:pPr>
            <w:jc w:val="right"/>
            <w:rPr>
              <w:rFonts w:ascii="Tahoma" w:hAnsi="Tahoma" w:cs="Tahoma"/>
              <w:sz w:val="20"/>
              <w:szCs w:val="20"/>
            </w:rPr>
          </w:pPr>
          <w:proofErr w:type="spellStart"/>
          <w:r w:rsidRPr="007B6264">
            <w:rPr>
              <w:rFonts w:ascii="Tahoma" w:hAnsi="Tahoma" w:cs="Tahoma"/>
              <w:sz w:val="20"/>
              <w:szCs w:val="20"/>
            </w:rPr>
            <w:t>AdatVissza</w:t>
          </w:r>
          <w:proofErr w:type="spellEnd"/>
          <w:r w:rsidRPr="007B6264">
            <w:rPr>
              <w:rFonts w:ascii="Tahoma" w:hAnsi="Tahoma" w:cs="Tahoma"/>
              <w:sz w:val="20"/>
              <w:szCs w:val="20"/>
            </w:rPr>
            <w:t xml:space="preserve"> adatmentés Kft.</w:t>
          </w:r>
          <w:r w:rsidRPr="007B6264">
            <w:rPr>
              <w:rFonts w:ascii="Tahoma" w:hAnsi="Tahoma" w:cs="Tahoma"/>
              <w:sz w:val="20"/>
              <w:szCs w:val="20"/>
            </w:rPr>
            <w:br/>
            <w:t>H-2310 Szigetszentmiklós, Áprily L. utca 25.</w:t>
          </w:r>
          <w:r w:rsidRPr="007B6264">
            <w:rPr>
              <w:rFonts w:ascii="Tahoma" w:hAnsi="Tahoma" w:cs="Tahoma"/>
              <w:sz w:val="20"/>
              <w:szCs w:val="20"/>
            </w:rPr>
            <w:br/>
            <w:t>Cégjegyzékszám: 13-09-212424</w:t>
          </w:r>
          <w:r w:rsidRPr="007B6264">
            <w:rPr>
              <w:rFonts w:ascii="Tahoma" w:hAnsi="Tahoma" w:cs="Tahoma"/>
              <w:sz w:val="20"/>
              <w:szCs w:val="20"/>
            </w:rPr>
            <w:br/>
            <w:t>Adószám: 29211261-2-13</w:t>
          </w:r>
          <w:r w:rsidRPr="007B6264">
            <w:rPr>
              <w:rFonts w:ascii="Tahoma" w:hAnsi="Tahoma" w:cs="Tahoma"/>
              <w:sz w:val="20"/>
              <w:szCs w:val="20"/>
            </w:rPr>
            <w:br/>
            <w:t xml:space="preserve">Számlázás: </w:t>
          </w:r>
          <w:proofErr w:type="spellStart"/>
          <w:r w:rsidRPr="007B6264">
            <w:rPr>
              <w:rFonts w:ascii="Tahoma" w:hAnsi="Tahoma" w:cs="Tahoma"/>
              <w:sz w:val="20"/>
              <w:szCs w:val="20"/>
            </w:rPr>
            <w:t>info</w:t>
          </w:r>
          <w:proofErr w:type="spellEnd"/>
          <w:r w:rsidRPr="007B6264">
            <w:rPr>
              <w:rFonts w:ascii="Tahoma" w:hAnsi="Tahoma" w:cs="Tahoma"/>
              <w:sz w:val="20"/>
              <w:szCs w:val="20"/>
            </w:rPr>
            <w:t>@adatvissza.hu</w:t>
          </w:r>
          <w:r w:rsidRPr="007B6264">
            <w:rPr>
              <w:rFonts w:ascii="Tahoma" w:hAnsi="Tahoma" w:cs="Tahoma"/>
              <w:sz w:val="20"/>
              <w:szCs w:val="20"/>
            </w:rPr>
            <w:br/>
            <w:t>Tel</w:t>
          </w:r>
          <w:proofErr w:type="gramStart"/>
          <w:r w:rsidRPr="007B6264">
            <w:rPr>
              <w:rFonts w:ascii="Tahoma" w:hAnsi="Tahoma" w:cs="Tahoma"/>
              <w:sz w:val="20"/>
              <w:szCs w:val="20"/>
            </w:rPr>
            <w:t>.:</w:t>
          </w:r>
          <w:proofErr w:type="gramEnd"/>
          <w:r w:rsidRPr="007B6264">
            <w:rPr>
              <w:rFonts w:ascii="Tahoma" w:hAnsi="Tahoma" w:cs="Tahoma"/>
              <w:sz w:val="20"/>
              <w:szCs w:val="20"/>
            </w:rPr>
            <w:t xml:space="preserve"> +36 30 370 7307</w:t>
          </w:r>
        </w:p>
      </w:tc>
    </w:tr>
  </w:tbl>
  <w:p w:rsidR="00044CF8" w:rsidRPr="007B6264" w:rsidRDefault="00044CF8" w:rsidP="00044CF8">
    <w:pPr>
      <w:pStyle w:val="lfej"/>
    </w:pPr>
  </w:p>
  <w:p w:rsidR="00044CF8" w:rsidRDefault="00044CF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141B"/>
    <w:multiLevelType w:val="multilevel"/>
    <w:tmpl w:val="2350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F8"/>
    <w:rsid w:val="00044CF8"/>
    <w:rsid w:val="00885B0E"/>
    <w:rsid w:val="00B17A38"/>
    <w:rsid w:val="00E2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97C75-F696-4EFF-A012-8459C849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4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4CF8"/>
  </w:style>
  <w:style w:type="paragraph" w:styleId="llb">
    <w:name w:val="footer"/>
    <w:basedOn w:val="Norml"/>
    <w:link w:val="llbChar"/>
    <w:uiPriority w:val="99"/>
    <w:unhideWhenUsed/>
    <w:rsid w:val="00044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2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datvissz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1008</Words>
  <Characters>6958</Characters>
  <Application>Microsoft Office Word</Application>
  <DocSecurity>0</DocSecurity>
  <Lines>57</Lines>
  <Paragraphs>15</Paragraphs>
  <ScaleCrop>false</ScaleCrop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Bahrt Zsolt</dc:creator>
  <cp:keywords/>
  <dc:description/>
  <cp:lastModifiedBy>Bahrt Zsolt</cp:lastModifiedBy>
  <cp:revision>2</cp:revision>
  <dcterms:created xsi:type="dcterms:W3CDTF">2025-09-23T08:49:00Z</dcterms:created>
  <dcterms:modified xsi:type="dcterms:W3CDTF">2025-09-23T08:59:00Z</dcterms:modified>
</cp:coreProperties>
</file>