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FB" w:rsidRPr="00F16FFB" w:rsidRDefault="00F16FFB" w:rsidP="00F16FFB">
      <w:p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Confidential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Data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Handling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and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Privacy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Notice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br/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Provider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:</w:t>
      </w:r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AdatVissza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adatmentés Kft. •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Registered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office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: 2310 Szigetszentmiklós, Áprily Lajos utca 25.</w:t>
      </w:r>
      <w:r w:rsidRPr="00F16FFB">
        <w:rPr>
          <w:rFonts w:eastAsia="Times New Roman" w:cstheme="minorHAnsi"/>
          <w:sz w:val="19"/>
          <w:szCs w:val="19"/>
          <w:lang w:eastAsia="hu-HU"/>
        </w:rPr>
        <w:br/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Company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. No</w:t>
      </w:r>
      <w:proofErr w:type="gramStart"/>
      <w:r w:rsidRPr="00F16FFB">
        <w:rPr>
          <w:rFonts w:eastAsia="Times New Roman" w:cstheme="minorHAnsi"/>
          <w:sz w:val="19"/>
          <w:szCs w:val="19"/>
          <w:lang w:eastAsia="hu-HU"/>
        </w:rPr>
        <w:t>.:</w:t>
      </w:r>
      <w:proofErr w:type="gram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13-09-212424 •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Tax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No.: 29211261-2-13 • E-mail: </w:t>
      </w:r>
      <w:hyperlink r:id="rId7" w:history="1">
        <w:r w:rsidRPr="00F16FFB">
          <w:rPr>
            <w:rFonts w:eastAsia="Times New Roman" w:cstheme="minorHAnsi"/>
            <w:color w:val="0000FF"/>
            <w:sz w:val="19"/>
            <w:szCs w:val="19"/>
            <w:u w:val="single"/>
            <w:lang w:eastAsia="hu-HU"/>
          </w:rPr>
          <w:t>info@adatvissza.hu</w:t>
        </w:r>
      </w:hyperlink>
      <w:r w:rsidRPr="00F16FFB">
        <w:rPr>
          <w:rFonts w:eastAsia="Times New Roman" w:cstheme="minorHAnsi"/>
          <w:sz w:val="19"/>
          <w:szCs w:val="19"/>
          <w:lang w:eastAsia="hu-HU"/>
        </w:rPr>
        <w:t xml:space="preserve"> • Mobile: +36 30 370 7307</w:t>
      </w:r>
    </w:p>
    <w:p w:rsidR="00F16FFB" w:rsidRPr="00F16FFB" w:rsidRDefault="00F16FFB" w:rsidP="00F16FFB">
      <w:p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AdatVissza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adatmentés Kft.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gives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priority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to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protecting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personal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and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clients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’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confidential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content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during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its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data-recovery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activities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.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Below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we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set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out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the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purposes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legal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bases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retention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periods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recipients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and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your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rights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(EU 2016/679 – GDPR).</w:t>
      </w:r>
      <w:bookmarkStart w:id="0" w:name="_GoBack"/>
      <w:bookmarkEnd w:id="0"/>
    </w:p>
    <w:p w:rsidR="00F16FFB" w:rsidRPr="00F16FFB" w:rsidRDefault="00F16FFB" w:rsidP="00F16FF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9"/>
          <w:szCs w:val="19"/>
          <w:lang w:eastAsia="hu-HU"/>
        </w:rPr>
      </w:pPr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1)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Categories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of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processed</w:t>
      </w:r>
      <w:proofErr w:type="spellEnd"/>
    </w:p>
    <w:p w:rsidR="00F16FFB" w:rsidRPr="00F16FFB" w:rsidRDefault="00F16FFB" w:rsidP="00F16F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Client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identification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and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contact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name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company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name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contact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person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e-mail,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phone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billing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).</w:t>
      </w:r>
    </w:p>
    <w:p w:rsidR="00F16FFB" w:rsidRPr="00F16FFB" w:rsidRDefault="00F16FFB" w:rsidP="00F16F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Administrative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work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order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fault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description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performance and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payment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).</w:t>
      </w:r>
    </w:p>
    <w:p w:rsidR="00F16FFB" w:rsidRPr="00F16FFB" w:rsidRDefault="00F16FFB" w:rsidP="00F16F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Device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/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media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type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serial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number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configuration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condition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logs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).</w:t>
      </w:r>
    </w:p>
    <w:p w:rsidR="00F16FFB" w:rsidRPr="00F16FFB" w:rsidRDefault="00F16FFB" w:rsidP="00F16F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Data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to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be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recovered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files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and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metadata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—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only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to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the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extent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necessary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for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the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recovery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with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no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content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analysis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).</w:t>
      </w:r>
    </w:p>
    <w:p w:rsidR="00F16FFB" w:rsidRPr="00F16FFB" w:rsidRDefault="00F16FFB" w:rsidP="00F16FF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9"/>
          <w:szCs w:val="19"/>
          <w:lang w:eastAsia="hu-HU"/>
        </w:rPr>
      </w:pPr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2)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Purposes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and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legal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bases</w:t>
      </w:r>
      <w:proofErr w:type="spellEnd"/>
    </w:p>
    <w:p w:rsidR="00F16FFB" w:rsidRPr="00F16FFB" w:rsidRDefault="00F16FFB" w:rsidP="00F16F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Performance of a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contract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recovery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diagnostics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client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communication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) — GDPR Art. </w:t>
      </w:r>
      <w:proofErr w:type="gramStart"/>
      <w:r w:rsidRPr="00F16FFB">
        <w:rPr>
          <w:rFonts w:eastAsia="Times New Roman" w:cstheme="minorHAnsi"/>
          <w:sz w:val="19"/>
          <w:szCs w:val="19"/>
          <w:lang w:eastAsia="hu-HU"/>
        </w:rPr>
        <w:t>6(</w:t>
      </w:r>
      <w:proofErr w:type="gramEnd"/>
      <w:r w:rsidRPr="00F16FFB">
        <w:rPr>
          <w:rFonts w:eastAsia="Times New Roman" w:cstheme="minorHAnsi"/>
          <w:sz w:val="19"/>
          <w:szCs w:val="19"/>
          <w:lang w:eastAsia="hu-HU"/>
        </w:rPr>
        <w:t>1)(b).</w:t>
      </w:r>
    </w:p>
    <w:p w:rsidR="00F16FFB" w:rsidRPr="00F16FFB" w:rsidRDefault="00F16FFB" w:rsidP="00F16F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Legal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obligation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retention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of accounting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documents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) — GDPR Art. </w:t>
      </w:r>
      <w:proofErr w:type="gramStart"/>
      <w:r w:rsidRPr="00F16FFB">
        <w:rPr>
          <w:rFonts w:eastAsia="Times New Roman" w:cstheme="minorHAnsi"/>
          <w:sz w:val="19"/>
          <w:szCs w:val="19"/>
          <w:lang w:eastAsia="hu-HU"/>
        </w:rPr>
        <w:t>6(</w:t>
      </w:r>
      <w:proofErr w:type="gramEnd"/>
      <w:r w:rsidRPr="00F16FFB">
        <w:rPr>
          <w:rFonts w:eastAsia="Times New Roman" w:cstheme="minorHAnsi"/>
          <w:sz w:val="19"/>
          <w:szCs w:val="19"/>
          <w:lang w:eastAsia="hu-HU"/>
        </w:rPr>
        <w:t>1)(c).</w:t>
      </w:r>
    </w:p>
    <w:p w:rsidR="00F16FFB" w:rsidRPr="00F16FFB" w:rsidRDefault="00F16FFB" w:rsidP="00F16F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Legitimate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interests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(IT/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security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logging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quality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assurance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) — GDPR Art. </w:t>
      </w:r>
      <w:proofErr w:type="gramStart"/>
      <w:r w:rsidRPr="00F16FFB">
        <w:rPr>
          <w:rFonts w:eastAsia="Times New Roman" w:cstheme="minorHAnsi"/>
          <w:sz w:val="19"/>
          <w:szCs w:val="19"/>
          <w:lang w:eastAsia="hu-HU"/>
        </w:rPr>
        <w:t>6(</w:t>
      </w:r>
      <w:proofErr w:type="gram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1)(f);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balancing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test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available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upon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request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.</w:t>
      </w:r>
    </w:p>
    <w:p w:rsidR="00F16FFB" w:rsidRPr="00F16FFB" w:rsidRDefault="00F16FFB" w:rsidP="00F16F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Consent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case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studies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/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testimonials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/marketing —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optional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withdrawable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any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time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) — GDPR Art. </w:t>
      </w:r>
      <w:proofErr w:type="gramStart"/>
      <w:r w:rsidRPr="00F16FFB">
        <w:rPr>
          <w:rFonts w:eastAsia="Times New Roman" w:cstheme="minorHAnsi"/>
          <w:sz w:val="19"/>
          <w:szCs w:val="19"/>
          <w:lang w:eastAsia="hu-HU"/>
        </w:rPr>
        <w:t>6(</w:t>
      </w:r>
      <w:proofErr w:type="gramEnd"/>
      <w:r w:rsidRPr="00F16FFB">
        <w:rPr>
          <w:rFonts w:eastAsia="Times New Roman" w:cstheme="minorHAnsi"/>
          <w:sz w:val="19"/>
          <w:szCs w:val="19"/>
          <w:lang w:eastAsia="hu-HU"/>
        </w:rPr>
        <w:t>1)(a).</w:t>
      </w:r>
    </w:p>
    <w:p w:rsidR="00F16FFB" w:rsidRPr="00F16FFB" w:rsidRDefault="00F16FFB" w:rsidP="00F16FF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9"/>
          <w:szCs w:val="19"/>
          <w:lang w:eastAsia="hu-HU"/>
        </w:rPr>
      </w:pPr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3)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Retention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periods</w:t>
      </w:r>
      <w:proofErr w:type="spellEnd"/>
    </w:p>
    <w:p w:rsidR="00F16FFB" w:rsidRPr="00F16FFB" w:rsidRDefault="00F16FFB" w:rsidP="00F16F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Safety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copy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of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recovered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:</w:t>
      </w:r>
      <w:r w:rsidRPr="00F16FFB">
        <w:rPr>
          <w:rFonts w:eastAsia="Times New Roman" w:cstheme="minorHAnsi"/>
          <w:sz w:val="19"/>
          <w:szCs w:val="19"/>
          <w:lang w:eastAsia="hu-HU"/>
        </w:rPr>
        <w:t xml:space="preserve"> 3 business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days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after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notice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/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handover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then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permanent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deletion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may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be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reasonably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extended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in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case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of a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complaint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).</w:t>
      </w:r>
    </w:p>
    <w:p w:rsidR="00F16FFB" w:rsidRPr="00F16FFB" w:rsidRDefault="00F16FFB" w:rsidP="00F16F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Physical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clones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/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technical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copies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:</w:t>
      </w:r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destroyed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without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delay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after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project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closure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(maximum 3 business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days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).</w:t>
      </w:r>
    </w:p>
    <w:p w:rsidR="00F16FFB" w:rsidRPr="00F16FFB" w:rsidRDefault="00F16FFB" w:rsidP="00F16F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Administrative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/accounting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:</w:t>
      </w:r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required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by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law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typically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8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years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).</w:t>
      </w:r>
    </w:p>
    <w:p w:rsidR="00F16FFB" w:rsidRPr="00F16FFB" w:rsidRDefault="00F16FFB" w:rsidP="00F16FF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9"/>
          <w:szCs w:val="19"/>
          <w:lang w:eastAsia="hu-HU"/>
        </w:rPr>
      </w:pPr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4) Access and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security</w:t>
      </w:r>
      <w:proofErr w:type="spellEnd"/>
    </w:p>
    <w:p w:rsidR="00F16FFB" w:rsidRPr="00F16FFB" w:rsidRDefault="00F16FFB" w:rsidP="00F16F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Offline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environment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:</w:t>
      </w:r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actual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recovery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is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performed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workstations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not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connected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to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the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Internet.</w:t>
      </w:r>
    </w:p>
    <w:p w:rsidR="00F16FFB" w:rsidRPr="00F16FFB" w:rsidRDefault="00F16FFB" w:rsidP="00F16F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Access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control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:</w:t>
      </w:r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only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staff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involved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in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the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case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and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bound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by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confidentiality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may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access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the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.</w:t>
      </w:r>
    </w:p>
    <w:p w:rsidR="00F16FFB" w:rsidRPr="00F16FFB" w:rsidRDefault="00F16FFB" w:rsidP="00F16F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Measures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:</w:t>
      </w:r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role-based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permissions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logging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physical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protection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and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support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for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encrypting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target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media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.</w:t>
      </w:r>
    </w:p>
    <w:p w:rsidR="00F16FFB" w:rsidRPr="00F16FFB" w:rsidRDefault="00F16FFB" w:rsidP="00F16F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Data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minimisation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:</w:t>
      </w:r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only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data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necessary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for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the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recovery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are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processed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; no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content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analysis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is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performed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.</w:t>
      </w:r>
    </w:p>
    <w:p w:rsidR="00F16FFB" w:rsidRPr="00F16FFB" w:rsidRDefault="00F16FFB" w:rsidP="00F16FF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9"/>
          <w:szCs w:val="19"/>
          <w:lang w:eastAsia="hu-HU"/>
        </w:rPr>
      </w:pPr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5) Data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transfers</w:t>
      </w:r>
      <w:proofErr w:type="spellEnd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 xml:space="preserve"> and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recipients</w:t>
      </w:r>
      <w:proofErr w:type="spellEnd"/>
    </w:p>
    <w:p w:rsidR="00F16FFB" w:rsidRPr="00F16FFB" w:rsidRDefault="00F16FFB" w:rsidP="00F16FFB">
      <w:pPr>
        <w:spacing w:before="100" w:beforeAutospacing="1" w:after="100" w:afterAutospacing="1" w:line="240" w:lineRule="auto"/>
        <w:rPr>
          <w:rFonts w:eastAsia="Times New Roman" w:cstheme="minorHAnsi"/>
          <w:sz w:val="19"/>
          <w:szCs w:val="19"/>
          <w:lang w:eastAsia="hu-HU"/>
        </w:rPr>
      </w:pP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We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do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not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transfer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recovery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content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to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third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parties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except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your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explicit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request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e.g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.,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courier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),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upon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a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mandatory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legal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request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,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or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to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processors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supporting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operations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(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e.g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., accounting, web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hosting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—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these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parties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do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b/>
          <w:bCs/>
          <w:sz w:val="19"/>
          <w:szCs w:val="19"/>
          <w:lang w:eastAsia="hu-HU"/>
        </w:rPr>
        <w:t>not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have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access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to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the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data-recovery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systems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). The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current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list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is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available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upon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 xml:space="preserve"> </w:t>
      </w:r>
      <w:proofErr w:type="spellStart"/>
      <w:r w:rsidRPr="00F16FFB">
        <w:rPr>
          <w:rFonts w:eastAsia="Times New Roman" w:cstheme="minorHAnsi"/>
          <w:sz w:val="19"/>
          <w:szCs w:val="19"/>
          <w:lang w:eastAsia="hu-HU"/>
        </w:rPr>
        <w:t>request</w:t>
      </w:r>
      <w:proofErr w:type="spellEnd"/>
      <w:r w:rsidRPr="00F16FFB">
        <w:rPr>
          <w:rFonts w:eastAsia="Times New Roman" w:cstheme="minorHAnsi"/>
          <w:sz w:val="19"/>
          <w:szCs w:val="19"/>
          <w:lang w:eastAsia="hu-HU"/>
        </w:rPr>
        <w:t>.</w:t>
      </w:r>
    </w:p>
    <w:p w:rsidR="005F67B9" w:rsidRPr="00F16FFB" w:rsidRDefault="005F67B9" w:rsidP="00F16FFB">
      <w:pPr>
        <w:rPr>
          <w:rFonts w:cstheme="minorHAnsi"/>
          <w:sz w:val="19"/>
          <w:szCs w:val="19"/>
        </w:rPr>
      </w:pPr>
    </w:p>
    <w:sectPr w:rsidR="005F67B9" w:rsidRPr="00F16FFB" w:rsidSect="00255F35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93" w:rsidRDefault="00E67D93" w:rsidP="00255F35">
      <w:pPr>
        <w:spacing w:after="0" w:line="240" w:lineRule="auto"/>
      </w:pPr>
      <w:r>
        <w:separator/>
      </w:r>
    </w:p>
  </w:endnote>
  <w:endnote w:type="continuationSeparator" w:id="0">
    <w:p w:rsidR="00E67D93" w:rsidRDefault="00E67D93" w:rsidP="0025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93" w:rsidRDefault="00E67D93" w:rsidP="00255F35">
      <w:pPr>
        <w:spacing w:after="0" w:line="240" w:lineRule="auto"/>
      </w:pPr>
      <w:r>
        <w:separator/>
      </w:r>
    </w:p>
  </w:footnote>
  <w:footnote w:type="continuationSeparator" w:id="0">
    <w:p w:rsidR="00E67D93" w:rsidRDefault="00E67D93" w:rsidP="0025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F35" w:rsidRDefault="00255F35" w:rsidP="00255F35">
    <w:pPr>
      <w:pStyle w:val="lfej"/>
    </w:pPr>
  </w:p>
  <w:tbl>
    <w:tblPr>
      <w:tblW w:w="10906" w:type="dxa"/>
      <w:tblInd w:w="-932" w:type="dxa"/>
      <w:tblLook w:val="04A0" w:firstRow="1" w:lastRow="0" w:firstColumn="1" w:lastColumn="0" w:noHBand="0" w:noVBand="1"/>
    </w:tblPr>
    <w:tblGrid>
      <w:gridCol w:w="5453"/>
      <w:gridCol w:w="5453"/>
    </w:tblGrid>
    <w:tr w:rsidR="00255F35" w:rsidRPr="009E4077" w:rsidTr="00255F35">
      <w:trPr>
        <w:trHeight w:val="424"/>
      </w:trPr>
      <w:tc>
        <w:tcPr>
          <w:tcW w:w="5453" w:type="dxa"/>
        </w:tcPr>
        <w:p w:rsidR="00255F35" w:rsidRDefault="00255F35" w:rsidP="00255F35">
          <w:r>
            <w:rPr>
              <w:noProof/>
              <w:lang w:eastAsia="hu-HU"/>
            </w:rPr>
            <w:drawing>
              <wp:inline distT="0" distB="0" distL="0" distR="0" wp14:anchorId="5C30CCB0" wp14:editId="572965CF">
                <wp:extent cx="2048494" cy="1140031"/>
                <wp:effectExtent l="0" t="0" r="9525" b="3175"/>
                <wp:docPr id="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atmentes_logo_adatvissza_hu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3575" cy="1159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3" w:type="dxa"/>
        </w:tcPr>
        <w:p w:rsidR="00255F35" w:rsidRPr="00255F35" w:rsidRDefault="00255F35" w:rsidP="00255F35">
          <w:pPr>
            <w:jc w:val="right"/>
            <w:rPr>
              <w:rFonts w:ascii="Tahoma" w:hAnsi="Tahoma" w:cs="Tahoma"/>
              <w:sz w:val="20"/>
              <w:szCs w:val="20"/>
            </w:rPr>
          </w:pPr>
          <w:proofErr w:type="spellStart"/>
          <w:r w:rsidRPr="00255F35">
            <w:rPr>
              <w:rFonts w:ascii="Tahoma" w:hAnsi="Tahoma" w:cs="Tahoma"/>
              <w:sz w:val="20"/>
              <w:szCs w:val="20"/>
            </w:rPr>
            <w:t>AdatVissza</w:t>
          </w:r>
          <w:proofErr w:type="spellEnd"/>
          <w:r w:rsidRPr="00255F35">
            <w:rPr>
              <w:rFonts w:ascii="Tahoma" w:hAnsi="Tahoma" w:cs="Tahoma"/>
              <w:sz w:val="20"/>
              <w:szCs w:val="20"/>
            </w:rPr>
            <w:t xml:space="preserve"> adatmentés Kft.</w:t>
          </w:r>
          <w:r w:rsidRPr="00255F35">
            <w:rPr>
              <w:rFonts w:ascii="Tahoma" w:hAnsi="Tahoma" w:cs="Tahoma"/>
              <w:sz w:val="20"/>
              <w:szCs w:val="20"/>
            </w:rPr>
            <w:br/>
            <w:t>H-2310 Szigetszentmiklós, Áprily L. utca 25.</w:t>
          </w:r>
          <w:r w:rsidRPr="00255F35">
            <w:rPr>
              <w:rFonts w:ascii="Tahoma" w:hAnsi="Tahoma" w:cs="Tahoma"/>
              <w:sz w:val="20"/>
              <w:szCs w:val="20"/>
            </w:rPr>
            <w:br/>
            <w:t>Cégjegyzékszám: 13-09-212424</w:t>
          </w:r>
          <w:r w:rsidRPr="00255F35">
            <w:rPr>
              <w:rFonts w:ascii="Tahoma" w:hAnsi="Tahoma" w:cs="Tahoma"/>
              <w:sz w:val="20"/>
              <w:szCs w:val="20"/>
            </w:rPr>
            <w:br/>
            <w:t>Adószám: 29211261-2-13</w:t>
          </w:r>
          <w:r w:rsidRPr="00255F35">
            <w:rPr>
              <w:rFonts w:ascii="Tahoma" w:hAnsi="Tahoma" w:cs="Tahoma"/>
              <w:sz w:val="20"/>
              <w:szCs w:val="20"/>
            </w:rPr>
            <w:br/>
            <w:t xml:space="preserve">Számlázás: </w:t>
          </w:r>
          <w:proofErr w:type="spellStart"/>
          <w:r w:rsidRPr="00255F35">
            <w:rPr>
              <w:rFonts w:ascii="Tahoma" w:hAnsi="Tahoma" w:cs="Tahoma"/>
              <w:sz w:val="20"/>
              <w:szCs w:val="20"/>
            </w:rPr>
            <w:t>info</w:t>
          </w:r>
          <w:proofErr w:type="spellEnd"/>
          <w:r w:rsidRPr="00255F35">
            <w:rPr>
              <w:rFonts w:ascii="Tahoma" w:hAnsi="Tahoma" w:cs="Tahoma"/>
              <w:sz w:val="20"/>
              <w:szCs w:val="20"/>
            </w:rPr>
            <w:t>@adatvissza.hu</w:t>
          </w:r>
          <w:r w:rsidRPr="00255F35">
            <w:rPr>
              <w:rFonts w:ascii="Tahoma" w:hAnsi="Tahoma" w:cs="Tahoma"/>
              <w:sz w:val="20"/>
              <w:szCs w:val="20"/>
            </w:rPr>
            <w:br/>
            <w:t>Tel</w:t>
          </w:r>
          <w:proofErr w:type="gramStart"/>
          <w:r w:rsidRPr="00255F35">
            <w:rPr>
              <w:rFonts w:ascii="Tahoma" w:hAnsi="Tahoma" w:cs="Tahoma"/>
              <w:sz w:val="20"/>
              <w:szCs w:val="20"/>
            </w:rPr>
            <w:t>.:</w:t>
          </w:r>
          <w:proofErr w:type="gramEnd"/>
          <w:r w:rsidRPr="00255F35">
            <w:rPr>
              <w:rFonts w:ascii="Tahoma" w:hAnsi="Tahoma" w:cs="Tahoma"/>
              <w:sz w:val="20"/>
              <w:szCs w:val="20"/>
            </w:rPr>
            <w:t xml:space="preserve"> +36 30 370 7307</w:t>
          </w:r>
        </w:p>
      </w:tc>
    </w:tr>
  </w:tbl>
  <w:p w:rsidR="00255F35" w:rsidRDefault="00255F3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6FE4"/>
    <w:multiLevelType w:val="multilevel"/>
    <w:tmpl w:val="B78E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4E0C"/>
    <w:multiLevelType w:val="multilevel"/>
    <w:tmpl w:val="B892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F0A00"/>
    <w:multiLevelType w:val="multilevel"/>
    <w:tmpl w:val="8412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33D96"/>
    <w:multiLevelType w:val="multilevel"/>
    <w:tmpl w:val="E646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83E34"/>
    <w:multiLevelType w:val="multilevel"/>
    <w:tmpl w:val="33C8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6336C"/>
    <w:multiLevelType w:val="multilevel"/>
    <w:tmpl w:val="F524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92A75"/>
    <w:multiLevelType w:val="multilevel"/>
    <w:tmpl w:val="201E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664BA"/>
    <w:multiLevelType w:val="multilevel"/>
    <w:tmpl w:val="FACE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35"/>
    <w:rsid w:val="00255F35"/>
    <w:rsid w:val="005F67B9"/>
    <w:rsid w:val="008C4CC8"/>
    <w:rsid w:val="00E67D93"/>
    <w:rsid w:val="00F1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373081-AB8A-4F90-8A98-9BE243DF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16F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55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5F35"/>
  </w:style>
  <w:style w:type="paragraph" w:styleId="llb">
    <w:name w:val="footer"/>
    <w:basedOn w:val="Norml"/>
    <w:link w:val="llbChar"/>
    <w:uiPriority w:val="99"/>
    <w:unhideWhenUsed/>
    <w:rsid w:val="00255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5F35"/>
  </w:style>
  <w:style w:type="character" w:customStyle="1" w:styleId="Cmsor3Char">
    <w:name w:val="Címsor 3 Char"/>
    <w:basedOn w:val="Bekezdsalapbettpusa"/>
    <w:link w:val="Cmsor3"/>
    <w:uiPriority w:val="9"/>
    <w:rsid w:val="00F16FFB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1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16FFB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16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datvissz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Bahrt Zsolt</dc:creator>
  <cp:keywords/>
  <dc:description/>
  <cp:lastModifiedBy>Bahrt Zsolt</cp:lastModifiedBy>
  <cp:revision>2</cp:revision>
  <dcterms:created xsi:type="dcterms:W3CDTF">2025-09-23T01:53:00Z</dcterms:created>
  <dcterms:modified xsi:type="dcterms:W3CDTF">2025-09-23T09:04:00Z</dcterms:modified>
</cp:coreProperties>
</file>